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right="1283" w:rightChars="401"/>
        <w:jc w:val="both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附件1</w:t>
      </w:r>
    </w:p>
    <w:p>
      <w:pPr>
        <w:adjustRightInd w:val="0"/>
        <w:snapToGrid w:val="0"/>
        <w:spacing w:line="580" w:lineRule="exact"/>
        <w:ind w:right="1283" w:rightChars="401"/>
        <w:jc w:val="both"/>
        <w:rPr>
          <w:rFonts w:hint="eastAsia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年重大疾病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慈善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救助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基金项目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一、项目背景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经四川省慈善事业和社会工作促进中心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（原四川省慈善总会办公室，以下简称省慈社中心）向省民政厅争取，2018年开始通过省民政厅从省福利彩票公益金中安排资金，用于实施重大疾病救助基金项目，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截止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年12月已使用资金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467.44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万元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（其中福彩公益金460万元）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，全省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337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名重大疾病患者受益。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项目旨在</w:t>
      </w:r>
      <w:r>
        <w:rPr>
          <w:rFonts w:hint="eastAsia" w:ascii="Times New Roman" w:hAnsi="Times New Roman" w:eastAsia="仿宋_GB2312" w:cs="仿宋_GB2312"/>
          <w:sz w:val="32"/>
          <w:szCs w:val="32"/>
        </w:rPr>
        <w:t>搭建“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慈善医疗救助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”平台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，通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过实施传统、经典的慈善救助项目，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形成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、市、县三级慈善组织（社会组织）联动，围绕“多元参与、精准识别、规范流程、高效救助”，撬动全省慈善救助资源，积极引导基层慈善、社工、志愿者组织共同参与慈善救助，提升基层困难群体精准识别能力，建立规范的慈善救助指引标准，打通基层困难群众获得慈善救助的“最后一公里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。为更好履行中心职能职责，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逐步构建适应高质量发展要求的慈善、社工、志愿者服务体系。</w:t>
      </w:r>
      <w:r>
        <w:rPr>
          <w:rFonts w:hint="eastAsia" w:eastAsia="仿宋_GB2312" w:cs="仿宋_GB2312"/>
          <w:kern w:val="0"/>
          <w:sz w:val="32"/>
          <w:szCs w:val="32"/>
          <w:lang w:val="en-US" w:eastAsia="zh-CN"/>
        </w:rPr>
        <w:t>2023年省慈社中心将继续实施重大疾病慈善救助基金项目。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二、项目目的</w:t>
      </w:r>
    </w:p>
    <w:p>
      <w:pPr>
        <w:pStyle w:val="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量力而行、尽力而为、稳步推进，逐步扩大重大疾病医疗救助覆盖面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的原则，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发挥</w:t>
      </w:r>
      <w:r>
        <w:rPr>
          <w:rFonts w:hint="eastAsia" w:eastAsia="仿宋_GB2312" w:cs="仿宋_GB2312"/>
          <w:sz w:val="32"/>
          <w:szCs w:val="32"/>
          <w:lang w:eastAsia="zh-CN"/>
        </w:rPr>
        <w:t>福利彩票公益金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在医疗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精确纾困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方面的积极作用，</w:t>
      </w:r>
      <w:r>
        <w:rPr>
          <w:rFonts w:hint="eastAsia" w:eastAsia="仿宋_GB2312" w:cs="仿宋_GB2312"/>
          <w:sz w:val="32"/>
          <w:szCs w:val="32"/>
          <w:lang w:eastAsia="zh-CN"/>
        </w:rPr>
        <w:t>缓解贫困患者负担，降低因病致贫、因病返贫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的问题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三、资金总量</w:t>
      </w:r>
      <w:r>
        <w:rPr>
          <w:rFonts w:hint="eastAsia" w:eastAsia="黑体" w:cs="黑体"/>
          <w:b w:val="0"/>
          <w:bCs w:val="0"/>
          <w:sz w:val="32"/>
          <w:szCs w:val="32"/>
          <w:lang w:eastAsia="zh-CN"/>
        </w:rPr>
        <w:t>及救助人数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重大疾病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救助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基金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资金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预算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总额为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万元，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资金来源：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下达到省慈社中心财政预算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100万元（福彩公益金）。按每位患者最高不超过2万元的补助标准，预计2023年至少可帮助50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名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重大疾病患者受益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四、执行时间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3月制定实施方案并下发通知，4—6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集中申报，省慈社中心接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收各市州初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审上报资料，进行复审；6月底按程序审定并公示明确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救助名单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下拨救助资金。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若有剩余资金，继续接收各地申请，8月20号前全部完成资金拨付。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五、项目救助对象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具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有四川省户籍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享受基本医疗保险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家庭困难者，包括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脱贫户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、低保家庭、家庭无主要劳动力或主要劳动力生产生活能力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基本丧失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等，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因患病住院治疗造成医疗费用支付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困难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重大疾病患者。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患者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根据自身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实际情况进行申报，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省慈社中心预算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资金申报完毕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当年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eastAsia="黑体" w:cs="黑体"/>
          <w:b w:val="0"/>
          <w:bCs w:val="0"/>
          <w:sz w:val="32"/>
          <w:szCs w:val="32"/>
          <w:lang w:eastAsia="zh-CN"/>
        </w:rPr>
        <w:t>入组条件和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救助标准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入组条件：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重大疾病患者在省内公立医疗机构住院的医疗费用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医保报销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医保报销范围内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个人自付费用超过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5000元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即可申请救助。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救助标准：根据患者住院结算单总治疗费用扣除结算单上医保已报销、政府救助、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帮扶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资金后，按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自付费用的60%给予一次性救助，年最高救助金额不超过2万元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eastAsia="黑体" w:cs="黑体"/>
          <w:b w:val="0"/>
          <w:bCs w:val="0"/>
          <w:sz w:val="32"/>
          <w:szCs w:val="32"/>
          <w:lang w:eastAsia="zh-CN"/>
        </w:rPr>
        <w:t>申报及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审核流程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符合救助条件的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家庭困难</w:t>
      </w:r>
      <w:r>
        <w:rPr>
          <w:rFonts w:hint="eastAsia" w:ascii="Times New Roman" w:hAnsi="Times New Roman" w:eastAsia="仿宋_GB2312" w:cs="仿宋_GB2312"/>
          <w:sz w:val="32"/>
          <w:szCs w:val="32"/>
        </w:rPr>
        <w:t>患者向户籍所在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地县（市、区）</w:t>
      </w:r>
      <w:r>
        <w:rPr>
          <w:rFonts w:hint="eastAsia" w:cs="仿宋_GB2312"/>
          <w:color w:val="auto"/>
          <w:sz w:val="32"/>
          <w:szCs w:val="32"/>
          <w:lang w:eastAsia="zh-CN"/>
        </w:rPr>
        <w:t>民政局或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慈善会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提出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，填报申请表（详见附件</w:t>
      </w:r>
      <w:r>
        <w:rPr>
          <w:rFonts w:hint="eastAsia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并按要求备齐相关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持证社工或社工岗工作人员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负责入户核实申报人情况并填写家庭情况协查表（详见附件</w:t>
      </w: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），连同申报资料统一提交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至市（州）</w:t>
      </w:r>
      <w:r>
        <w:rPr>
          <w:rFonts w:hint="eastAsia" w:cs="仿宋_GB2312"/>
          <w:color w:val="auto"/>
          <w:sz w:val="32"/>
          <w:szCs w:val="32"/>
          <w:lang w:eastAsia="zh-CN"/>
        </w:rPr>
        <w:t>民政局或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慈善会。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市（州）</w:t>
      </w:r>
      <w:r>
        <w:rPr>
          <w:rFonts w:hint="eastAsia" w:cs="仿宋_GB2312"/>
          <w:color w:val="auto"/>
          <w:sz w:val="32"/>
          <w:szCs w:val="32"/>
          <w:lang w:eastAsia="zh-CN"/>
        </w:rPr>
        <w:t>民政局或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慈善会收集救助对象的申请材料并进行初审，对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审结果的真实性负责。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后转报符合救助条件的患者的相关材料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至省慈社中心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，由慈善事业科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慈善事业科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对提交资料进行复审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根据资料审核情况，可采取随机电话抽查或实地入户方式进行患者情况核查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慈善事业科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审通过</w:t>
      </w:r>
      <w:r>
        <w:rPr>
          <w:rFonts w:hint="eastAsia" w:ascii="Times New Roman" w:hAnsi="Times New Roman" w:eastAsia="仿宋_GB2312" w:cs="仿宋_GB2312"/>
          <w:sz w:val="32"/>
          <w:szCs w:val="32"/>
        </w:rPr>
        <w:t>汇总救助花名册，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按程序审定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通过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后进行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公示，公示无议后按程序给予救助。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（五）审核通过后的患者救助资金直接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划</w:t>
      </w:r>
      <w:r>
        <w:rPr>
          <w:rFonts w:hint="eastAsia" w:ascii="Times New Roman" w:hAnsi="Times New Roman" w:eastAsia="仿宋_GB2312" w:cs="仿宋_GB2312"/>
          <w:sz w:val="32"/>
          <w:szCs w:val="32"/>
        </w:rPr>
        <w:t>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患者提供的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银行卡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账户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（收款人、银行卡号、银行卡开卡银行信息需真实有效）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八、申报需提交的资料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《重大疾病慈善</w:t>
      </w:r>
      <w:r>
        <w:rPr>
          <w:rFonts w:hint="eastAsia" w:cs="仿宋_GB2312"/>
          <w:sz w:val="32"/>
          <w:szCs w:val="32"/>
          <w:lang w:eastAsia="zh-CN"/>
        </w:rPr>
        <w:t>基金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救助项目》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申请表（申请表需户籍所在地区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市（州）</w:t>
      </w:r>
      <w:r>
        <w:rPr>
          <w:rFonts w:hint="eastAsia" w:cs="仿宋_GB2312"/>
          <w:color w:val="auto"/>
          <w:sz w:val="32"/>
          <w:szCs w:val="32"/>
          <w:lang w:eastAsia="zh-CN"/>
        </w:rPr>
        <w:t>民政局或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善会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盖章）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（二）公立医院病情诊断证明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复印件</w:t>
      </w:r>
      <w:r>
        <w:rPr>
          <w:rFonts w:hint="eastAsia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（三）患者身份证复印件或户口簿复印件</w:t>
      </w:r>
      <w:r>
        <w:rPr>
          <w:rFonts w:hint="eastAsia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个人情况声明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脱贫户相关证明资料复印件或低保户相关证明资料复印件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或户籍所在地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县（市、区）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民政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局或慈善会或镇（乡）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人民政府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或街道办事处加盖鲜章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个人情况声明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（五）医疗住院费用结算单（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医疗保险结算单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XX市医保结算单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）复印件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，可提供一张或多张，患者</w:t>
      </w:r>
      <w:r>
        <w:rPr>
          <w:rFonts w:hint="eastAsia" w:cs="仿宋_GB2312"/>
          <w:sz w:val="32"/>
          <w:szCs w:val="32"/>
          <w:lang w:eastAsia="zh-CN"/>
        </w:rPr>
        <w:t>提出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cs="仿宋_GB2312"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仿宋_GB2312" w:cs="仿宋_GB2312"/>
          <w:sz w:val="32"/>
          <w:szCs w:val="32"/>
        </w:rPr>
        <w:t>前一年度内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发生的结算票据均可纳入计算</w:t>
      </w:r>
      <w:r>
        <w:rPr>
          <w:rFonts w:hint="eastAsia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（六）患者本人的银行卡或银行存折复印件（若患者本人无银行卡，必须是直系亲属，还需提供能证明两者关系的户口页复印件）注明银行卡或银行存折开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卡</w:t>
      </w:r>
      <w:r>
        <w:rPr>
          <w:rFonts w:hint="eastAsia" w:ascii="Times New Roman" w:hAnsi="Times New Roman" w:eastAsia="仿宋_GB2312" w:cs="仿宋_GB2312"/>
          <w:sz w:val="32"/>
          <w:szCs w:val="32"/>
        </w:rPr>
        <w:t>银行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并加盖申请人手印。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各市（州）</w:t>
      </w:r>
      <w:r>
        <w:rPr>
          <w:rFonts w:hint="eastAsia" w:cs="仿宋_GB2312"/>
          <w:color w:val="auto"/>
          <w:sz w:val="32"/>
          <w:szCs w:val="32"/>
          <w:lang w:eastAsia="zh-CN"/>
        </w:rPr>
        <w:t>民政局</w:t>
      </w:r>
      <w:r>
        <w:rPr>
          <w:rFonts w:hint="eastAsia" w:cs="仿宋_GB2312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仿宋_GB2312"/>
          <w:sz w:val="32"/>
          <w:szCs w:val="32"/>
        </w:rPr>
        <w:t>慈善会负责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所在</w:t>
      </w:r>
      <w:r>
        <w:rPr>
          <w:rFonts w:hint="eastAsia" w:ascii="Times New Roman" w:hAnsi="Times New Roman" w:eastAsia="仿宋_GB2312" w:cs="仿宋_GB2312"/>
          <w:sz w:val="32"/>
          <w:szCs w:val="32"/>
        </w:rPr>
        <w:t>辖区域内救助的组织工作，对符合救助条件对象的申报材料汇总并进行初审，向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省慈社中心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提交审核意见</w:t>
      </w:r>
      <w:r>
        <w:rPr>
          <w:rFonts w:hint="eastAsia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由于资金有限，提出申请的患者并不一定当年都能获得救助。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（一）申请人需是患者本人，申请所提供的医保报销资料可是单次，也可累计申请救助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前一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自然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年度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内发生的医疗费用。申请人一年内只能享受一次救助，一个家庭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原则上一年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也只能申报一次。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救助申请可在重大疾病治疗期间医院预估治疗费用较高，家庭难以承担较高的自付费用时提出；也可在重大疾病治疗期结束完成医保报销、大病保险等相关救助结算完成后提出。在治疗期间提出救助申请的患者，可进行前置审批，审批通过后需在当年项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资金使用完毕</w:t>
      </w:r>
      <w:r>
        <w:rPr>
          <w:rFonts w:hint="eastAsia" w:ascii="Times New Roman" w:hAnsi="Times New Roman" w:eastAsia="仿宋_GB2312" w:cs="仿宋_GB2312"/>
          <w:sz w:val="32"/>
          <w:szCs w:val="32"/>
        </w:rPr>
        <w:t>前提供相关结算资料审核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明确最终救助资金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后给予救助，若超期未提供者视为自动放弃救助。救助名额按顺序替补。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（三）按照患者提交资料先后顺序经审核通过后进行救助。当年资金使用完毕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即不再给予救助。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市（州）</w:t>
      </w:r>
      <w:r>
        <w:rPr>
          <w:rFonts w:hint="eastAsia" w:cs="仿宋_GB2312"/>
          <w:color w:val="auto"/>
          <w:sz w:val="32"/>
          <w:szCs w:val="32"/>
          <w:lang w:eastAsia="zh-CN"/>
        </w:rPr>
        <w:t>民政局或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慈善会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协助省慈社中心开展申请救助患者的入户调查，确保申报本项目患者救助条件。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ind w:right="1283" w:rightChars="401"/>
        <w:jc w:val="both"/>
        <w:rPr>
          <w:rFonts w:hint="default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797" w:bottom="1985" w:left="1797" w:header="85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42" w:wrap="notBeside" w:vAnchor="page" w:hAnchor="page" w:x="8869" w:y="14981"/>
      <w:jc w:val="right"/>
      <w:rPr>
        <w:rStyle w:val="6"/>
        <w:sz w:val="28"/>
      </w:rPr>
    </w:pPr>
    <w:r>
      <w:rPr>
        <w:rStyle w:val="6"/>
        <w:rFonts w:hint="eastAsia" w:ascii="仿宋_GB2312"/>
        <w:sz w:val="28"/>
      </w:rPr>
      <w:t>—</w:t>
    </w:r>
    <w:r>
      <w:rPr>
        <w:rStyle w:val="6"/>
        <w:sz w:val="28"/>
      </w:rPr>
      <w:t xml:space="preserve">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5</w:t>
    </w:r>
    <w:r>
      <w:rPr>
        <w:rStyle w:val="6"/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 w:ascii="仿宋_GB2312"/>
        <w:sz w:val="28"/>
      </w:rPr>
      <w:t>—</w:t>
    </w:r>
  </w:p>
  <w:p>
    <w:pPr>
      <w:pStyle w:val="3"/>
      <w:tabs>
        <w:tab w:val="right" w:pos="8532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hSpace="170" w:wrap="around" w:vAnchor="text" w:hAnchor="page" w:x="1929" w:y="12"/>
      <w:rPr>
        <w:rStyle w:val="6"/>
        <w:sz w:val="28"/>
      </w:rPr>
    </w:pPr>
    <w:r>
      <w:rPr>
        <w:rStyle w:val="6"/>
        <w:rFonts w:hint="eastAsia" w:ascii="仿宋_GB2312"/>
        <w:sz w:val="28"/>
      </w:rPr>
      <w:t>—</w:t>
    </w:r>
    <w:r>
      <w:rPr>
        <w:rStyle w:val="6"/>
        <w:sz w:val="28"/>
      </w:rPr>
      <w:t xml:space="preserve">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6</w:t>
    </w:r>
    <w:r>
      <w:rPr>
        <w:rStyle w:val="6"/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 w:ascii="仿宋_GB2312"/>
        <w:sz w:val="28"/>
      </w:rPr>
      <w:t>—</w:t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CE506D"/>
    <w:multiLevelType w:val="singleLevel"/>
    <w:tmpl w:val="F7CE50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BDB2C4E"/>
    <w:multiLevelType w:val="singleLevel"/>
    <w:tmpl w:val="1BDB2C4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NGE5N2VkYTZiNjE4NTM4NzJjMGQ4ZjYwNjdkYWIifQ=="/>
  </w:docVars>
  <w:rsids>
    <w:rsidRoot w:val="00172A27"/>
    <w:rsid w:val="047F7954"/>
    <w:rsid w:val="45D61269"/>
    <w:rsid w:val="5C6D36CE"/>
    <w:rsid w:val="7B59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eastAsia="方正小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AD9B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2111</Words>
  <Characters>2158</Characters>
  <Lines>0</Lines>
  <Paragraphs>0</Paragraphs>
  <TotalTime>0</TotalTime>
  <ScaleCrop>false</ScaleCrop>
  <LinksUpToDate>false</LinksUpToDate>
  <CharactersWithSpaces>2161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Angry Queen </cp:lastModifiedBy>
  <dcterms:modified xsi:type="dcterms:W3CDTF">2023-03-21T02:38:07Z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6A06D40D5E31478197F9AEE4B44AA954</vt:lpwstr>
  </property>
</Properties>
</file>